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360" w:before="0" w:after="113"/>
        <w:rPr>
          <w:sz w:val="21"/>
          <w:szCs w:val="21"/>
        </w:rPr>
      </w:pPr>
      <w:r>
        <w:rPr>
          <w:rFonts w:ascii="Tahoma" w:hAnsi="Tahoma"/>
          <w:bCs/>
          <w:sz w:val="21"/>
          <w:szCs w:val="21"/>
        </w:rPr>
        <w:t>An die</w:t>
      </w:r>
    </w:p>
    <w:p>
      <w:pPr>
        <w:pStyle w:val="Default"/>
        <w:spacing w:lineRule="auto" w:line="360" w:before="0" w:after="113"/>
        <w:rPr>
          <w:sz w:val="21"/>
          <w:szCs w:val="21"/>
        </w:rPr>
      </w:pPr>
      <w:r>
        <w:rPr>
          <w:rFonts w:ascii="Tahoma" w:hAnsi="Tahoma"/>
          <w:bCs/>
          <w:sz w:val="21"/>
          <w:szCs w:val="21"/>
        </w:rPr>
        <w:t>Stadtvertretung der Stadt Dornbirn</w:t>
      </w:r>
    </w:p>
    <w:p>
      <w:pPr>
        <w:pStyle w:val="Default"/>
        <w:spacing w:lineRule="auto" w:line="360" w:before="0" w:after="113"/>
        <w:rPr>
          <w:sz w:val="21"/>
          <w:szCs w:val="21"/>
        </w:rPr>
      </w:pPr>
      <w:r>
        <w:rPr>
          <w:rFonts w:ascii="Tahoma" w:hAnsi="Tahoma"/>
          <w:bCs/>
          <w:sz w:val="21"/>
          <w:szCs w:val="21"/>
        </w:rPr>
        <w:t>z.H. Bürgermeisterin Andrea Kaufmann</w:t>
      </w:r>
    </w:p>
    <w:p>
      <w:pPr>
        <w:pStyle w:val="Default"/>
        <w:spacing w:lineRule="auto" w:line="360" w:before="0" w:after="113"/>
        <w:rPr>
          <w:sz w:val="21"/>
          <w:szCs w:val="21"/>
        </w:rPr>
      </w:pPr>
      <w:r>
        <w:rPr>
          <w:rFonts w:ascii="Tahoma" w:hAnsi="Tahoma"/>
          <w:bCs/>
          <w:sz w:val="21"/>
          <w:szCs w:val="21"/>
        </w:rPr>
        <w:t>Rathausplatz 2</w:t>
      </w:r>
    </w:p>
    <w:p>
      <w:pPr>
        <w:pStyle w:val="Default"/>
        <w:spacing w:lineRule="auto" w:line="360" w:before="0" w:after="113"/>
        <w:rPr>
          <w:sz w:val="21"/>
          <w:szCs w:val="21"/>
        </w:rPr>
      </w:pPr>
      <w:r>
        <w:rPr>
          <w:rFonts w:ascii="Tahoma" w:hAnsi="Tahoma"/>
          <w:bCs/>
          <w:sz w:val="21"/>
          <w:szCs w:val="21"/>
        </w:rPr>
        <w:t>6850 Dornbirn</w:t>
      </w:r>
    </w:p>
    <w:p>
      <w:pPr>
        <w:pStyle w:val="Default"/>
        <w:spacing w:lineRule="auto" w:line="360" w:before="0" w:after="113"/>
        <w:rPr>
          <w:rFonts w:ascii="Tahoma" w:hAnsi="Tahoma"/>
          <w:bCs/>
          <w:sz w:val="21"/>
          <w:szCs w:val="21"/>
        </w:rPr>
      </w:pPr>
      <w:r>
        <w:rPr>
          <w:rFonts w:ascii="Tahoma" w:hAnsi="Tahoma"/>
          <w:bCs/>
          <w:sz w:val="21"/>
          <w:szCs w:val="21"/>
        </w:rPr>
      </w:r>
    </w:p>
    <w:p>
      <w:pPr>
        <w:pStyle w:val="Default"/>
        <w:spacing w:lineRule="auto" w:line="360" w:before="0" w:after="113"/>
        <w:jc w:val="right"/>
        <w:rPr>
          <w:sz w:val="21"/>
          <w:szCs w:val="21"/>
        </w:rPr>
      </w:pPr>
      <w:r>
        <w:rPr>
          <w:rFonts w:ascii="Tahoma" w:hAnsi="Tahoma"/>
          <w:bCs/>
          <w:sz w:val="21"/>
          <w:szCs w:val="21"/>
        </w:rPr>
        <w:t>Dornbirn, am 7.5.2024</w:t>
      </w:r>
    </w:p>
    <w:p>
      <w:pPr>
        <w:pStyle w:val="Default"/>
        <w:spacing w:lineRule="auto" w:line="360" w:before="0" w:after="113"/>
        <w:rPr>
          <w:rFonts w:ascii="Tahoma" w:hAnsi="Tahoma"/>
          <w:bCs/>
          <w:sz w:val="21"/>
          <w:szCs w:val="21"/>
        </w:rPr>
      </w:pPr>
      <w:r>
        <w:rPr>
          <w:rFonts w:ascii="Tahoma" w:hAnsi="Tahoma"/>
          <w:bCs/>
          <w:sz w:val="21"/>
          <w:szCs w:val="21"/>
        </w:rPr>
      </w:r>
    </w:p>
    <w:p>
      <w:pPr>
        <w:pStyle w:val="Default"/>
        <w:spacing w:lineRule="auto" w:line="360" w:before="0" w:after="113"/>
        <w:rPr>
          <w:sz w:val="21"/>
          <w:szCs w:val="21"/>
        </w:rPr>
      </w:pPr>
      <w:r>
        <w:rPr>
          <w:rFonts w:ascii="Tahoma" w:hAnsi="Tahoma"/>
          <w:bCs/>
          <w:sz w:val="21"/>
          <w:szCs w:val="21"/>
        </w:rPr>
        <w:t>Antrag nach § 41 Abs. 2 des Gemeindegesetzes:</w:t>
      </w:r>
    </w:p>
    <w:p>
      <w:pPr>
        <w:pStyle w:val="Default"/>
        <w:spacing w:lineRule="auto" w:line="360" w:before="0" w:after="113"/>
        <w:rPr>
          <w:sz w:val="21"/>
          <w:szCs w:val="21"/>
        </w:rPr>
      </w:pPr>
      <w:r>
        <w:rPr>
          <w:rFonts w:ascii="Tahoma" w:hAnsi="Tahoma"/>
          <w:bCs/>
          <w:sz w:val="21"/>
          <w:szCs w:val="21"/>
        </w:rPr>
        <w:t>Aufnahme des Tagesordnungspunktes</w:t>
      </w:r>
    </w:p>
    <w:p>
      <w:pPr>
        <w:pStyle w:val="Default"/>
        <w:spacing w:lineRule="auto" w:line="360" w:before="0" w:after="113"/>
        <w:rPr>
          <w:sz w:val="21"/>
          <w:szCs w:val="21"/>
        </w:rPr>
      </w:pPr>
      <w:r>
        <w:rPr>
          <w:rFonts w:ascii="Tahoma" w:hAnsi="Tahoma"/>
          <w:b/>
          <w:bCs/>
          <w:sz w:val="21"/>
          <w:szCs w:val="21"/>
        </w:rPr>
        <w:t>"Einhebung einer Zweitwohnungsabgabe"</w:t>
      </w:r>
    </w:p>
    <w:p>
      <w:pPr>
        <w:pStyle w:val="Default"/>
        <w:spacing w:lineRule="auto" w:line="360" w:before="0" w:after="113"/>
        <w:rPr>
          <w:sz w:val="21"/>
          <w:szCs w:val="21"/>
        </w:rPr>
      </w:pPr>
      <w:r>
        <w:rPr>
          <w:rFonts w:ascii="Tahoma" w:hAnsi="Tahoma"/>
          <w:bCs/>
          <w:sz w:val="21"/>
          <w:szCs w:val="21"/>
        </w:rPr>
        <w:t>auf die Tagesordnung der Stadtvertretungssitzung am 23. Mai 2024</w:t>
      </w:r>
    </w:p>
    <w:p>
      <w:pPr>
        <w:pStyle w:val="Default"/>
        <w:spacing w:lineRule="auto" w:line="360" w:before="0" w:after="113"/>
        <w:rPr>
          <w:rFonts w:ascii="Tahoma" w:hAnsi="Tahoma"/>
          <w:b/>
          <w:b/>
          <w:bCs/>
          <w:sz w:val="21"/>
          <w:szCs w:val="21"/>
        </w:rPr>
      </w:pPr>
      <w:r>
        <w:rPr>
          <w:rFonts w:ascii="Tahoma" w:hAnsi="Tahoma"/>
          <w:b/>
          <w:bCs/>
          <w:sz w:val="21"/>
          <w:szCs w:val="21"/>
        </w:rPr>
      </w:r>
    </w:p>
    <w:p>
      <w:pPr>
        <w:pStyle w:val="Default"/>
        <w:spacing w:lineRule="auto" w:line="360" w:before="0" w:after="113"/>
        <w:rPr>
          <w:sz w:val="21"/>
          <w:szCs w:val="21"/>
        </w:rPr>
      </w:pPr>
      <w:r>
        <w:rPr>
          <w:rFonts w:ascii="Tahoma" w:hAnsi="Tahoma"/>
          <w:b/>
          <w:sz w:val="21"/>
          <w:szCs w:val="21"/>
        </w:rPr>
        <w:t>Begründung:</w:t>
      </w:r>
    </w:p>
    <w:p>
      <w:pPr>
        <w:pStyle w:val="Default"/>
        <w:spacing w:lineRule="auto" w:line="360" w:before="0" w:after="113"/>
        <w:rPr>
          <w:sz w:val="21"/>
          <w:szCs w:val="21"/>
        </w:rPr>
      </w:pPr>
      <w:r>
        <w:rPr>
          <w:rFonts w:ascii="Tahoma" w:hAnsi="Tahoma"/>
          <w:bCs/>
          <w:sz w:val="21"/>
          <w:szCs w:val="21"/>
        </w:rPr>
        <w:t>Dornbirn und ganz Vorarlberg leiden unter einer Krise des Wohnungsmarktes. In den letzten zehn Jahren sind die Preise für Mieten und Wohnungseigentum stark angestiegen, für viele Menschen sind die Wohnkosten eine sehr große Belastung.</w:t>
      </w:r>
    </w:p>
    <w:p>
      <w:pPr>
        <w:pStyle w:val="Default"/>
        <w:spacing w:lineRule="auto" w:line="360" w:before="0" w:after="113"/>
        <w:rPr>
          <w:sz w:val="21"/>
          <w:szCs w:val="21"/>
        </w:rPr>
      </w:pPr>
      <w:r>
        <w:rPr>
          <w:rFonts w:ascii="Tahoma" w:hAnsi="Tahoma"/>
          <w:bCs/>
          <w:sz w:val="21"/>
          <w:szCs w:val="21"/>
        </w:rPr>
        <w:t>Gleichzeitig ist in einem beträchtlichen Teil der Dornbirner Wohnungen kein Hauptwohnsitz gemeldet und steht leer, teilweise aus spekulativen Gründen.</w:t>
      </w:r>
    </w:p>
    <w:p>
      <w:pPr>
        <w:pStyle w:val="Default"/>
        <w:spacing w:lineRule="auto" w:line="360" w:before="0" w:after="113"/>
        <w:rPr>
          <w:sz w:val="21"/>
          <w:szCs w:val="21"/>
        </w:rPr>
      </w:pPr>
      <w:r>
        <w:rPr>
          <w:rFonts w:ascii="Tahoma" w:hAnsi="Tahoma"/>
          <w:bCs/>
          <w:sz w:val="21"/>
          <w:szCs w:val="21"/>
        </w:rPr>
        <w:t>Durch die hohe Anzahl leerstehender Wohnungen entstehen der Stadt Dornbirn hohe Infrastrukturkosten, welche bisher weitgehend von der Allgemeinheit getragen werden. Durch die Zweitwohnungsabgabe sollen Teile dieser Kosten den EigentümerInnen leerstehender Wohnungen auferlegt werden. Die erwarteten geschätzten Mehreinnahmen für die Stadt in der Höhe von EUR 250.000 bis 350.000 helfen folglich, das städtische Budget zu entlasten und Infrastrukturkosten gerechter zu verteilen.</w:t>
      </w:r>
    </w:p>
    <w:p>
      <w:pPr>
        <w:pStyle w:val="Default"/>
        <w:spacing w:lineRule="auto" w:line="360" w:before="0" w:after="113"/>
        <w:rPr>
          <w:sz w:val="21"/>
          <w:szCs w:val="21"/>
        </w:rPr>
      </w:pPr>
      <w:r>
        <w:rPr>
          <w:rFonts w:ascii="Tahoma" w:hAnsi="Tahoma"/>
          <w:bCs/>
          <w:sz w:val="21"/>
          <w:szCs w:val="21"/>
        </w:rPr>
        <w:t>Weiters ist die von der Landesregierung geschaffene Möglichkeit der Einhebung einer Zweitwohnungsabgabe ein Instrument zur Aktivierung von leerstehendem Wohnraum. Mehr verfügbarer Wohnraum bewirkt Entspannung am Wohnungsmarkt.</w:t>
      </w:r>
    </w:p>
    <w:p>
      <w:pPr>
        <w:pStyle w:val="Default"/>
        <w:spacing w:lineRule="auto" w:line="360" w:before="0" w:after="113"/>
        <w:rPr>
          <w:sz w:val="21"/>
          <w:szCs w:val="21"/>
        </w:rPr>
      </w:pPr>
      <w:r>
        <w:rPr>
          <w:rFonts w:ascii="Tahoma" w:hAnsi="Tahoma"/>
          <w:bCs/>
          <w:sz w:val="21"/>
          <w:szCs w:val="21"/>
        </w:rPr>
        <w:t>Durch sinnvolle Ausnahmen wird sichergestellt, dass die Zweitwohnungsabgabe treffsicher ist. So sind etwa Einliegerwohnungen in einem Einfamilienhaus, nicht bewohnbare Objekte oder Wohnungen, die im Rahmen des Projekts „Sicher Vermieten“ angeboten werden, ausgenommen.</w:t>
      </w:r>
    </w:p>
    <w:p>
      <w:pPr>
        <w:pStyle w:val="Default"/>
        <w:spacing w:lineRule="auto" w:line="360" w:before="0" w:after="113"/>
        <w:rPr>
          <w:sz w:val="21"/>
          <w:szCs w:val="21"/>
        </w:rPr>
      </w:pPr>
      <w:r>
        <w:rPr>
          <w:rFonts w:ascii="Tahoma" w:hAnsi="Tahoma"/>
          <w:bCs/>
          <w:sz w:val="21"/>
          <w:szCs w:val="21"/>
        </w:rPr>
        <w:t>Um eine Einhebung für das Kalenderjahr 2024 zu ermöglichen, muss die Zweit</w:t>
        <w:softHyphen/>
        <w:t>wohnungs</w:t>
        <w:softHyphen/>
        <w:t xml:space="preserve">abgabe im ersten Halbjahr des Jahres 2024 beschlossen werden. </w:t>
      </w:r>
    </w:p>
    <w:p>
      <w:pPr>
        <w:pStyle w:val="Standard"/>
        <w:widowControl w:val="false"/>
        <w:spacing w:lineRule="auto" w:line="360" w:before="0" w:after="240"/>
        <w:rPr>
          <w:rFonts w:ascii="Tahoma" w:hAnsi="Tahoma" w:eastAsia="Droid Sans" w:cs="Times New Roman"/>
          <w:bCs/>
          <w:color w:val="000000"/>
          <w:sz w:val="21"/>
          <w:szCs w:val="21"/>
          <w:lang w:eastAsia="en-US" w:bidi="ar-SA"/>
        </w:rPr>
      </w:pPr>
      <w:r>
        <w:rPr>
          <w:rFonts w:eastAsia="Droid Sans" w:cs="Times New Roman" w:ascii="Tahoma" w:hAnsi="Tahoma"/>
          <w:bCs/>
          <w:color w:val="000000"/>
          <w:sz w:val="21"/>
          <w:szCs w:val="21"/>
          <w:lang w:eastAsia="en-US" w:bidi="ar-SA"/>
        </w:rPr>
      </w:r>
    </w:p>
    <w:p>
      <w:pPr>
        <w:pStyle w:val="Standard"/>
        <w:widowControl w:val="false"/>
        <w:spacing w:lineRule="auto" w:line="360" w:before="0" w:after="240"/>
        <w:rPr>
          <w:sz w:val="21"/>
          <w:szCs w:val="21"/>
        </w:rPr>
      </w:pPr>
      <w:r>
        <w:rPr>
          <w:rFonts w:eastAsia="Droid Sans" w:cs="Times New Roman" w:ascii="Tahoma" w:hAnsi="Tahoma"/>
          <w:bCs/>
          <w:color w:val="000000"/>
          <w:sz w:val="21"/>
          <w:szCs w:val="21"/>
          <w:lang w:eastAsia="en-US" w:bidi="ar-SA"/>
        </w:rPr>
        <w:t>Die Stadtvertretung möge daher beschließen:</w:t>
      </w:r>
    </w:p>
    <w:p>
      <w:pPr>
        <w:pStyle w:val="Standard"/>
        <w:widowControl w:val="false"/>
        <w:spacing w:lineRule="auto" w:line="360" w:before="0" w:after="240"/>
        <w:rPr>
          <w:sz w:val="21"/>
          <w:szCs w:val="21"/>
        </w:rPr>
      </w:pPr>
      <w:r>
        <w:rPr>
          <w:rFonts w:eastAsia="Droid Sans" w:cs="Times New Roman" w:ascii="Tahoma" w:hAnsi="Tahoma"/>
          <w:b/>
          <w:bCs/>
          <w:color w:val="000000"/>
          <w:sz w:val="21"/>
          <w:szCs w:val="21"/>
          <w:lang w:eastAsia="en-US" w:bidi="ar-SA"/>
        </w:rPr>
        <w:t>Antrag:</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w:t>
      </w:r>
      <w:r>
        <w:rPr>
          <w:rFonts w:eastAsia="Droid Sans" w:cs="Times New Roman" w:ascii="Tahoma" w:hAnsi="Tahoma"/>
          <w:bCs/>
          <w:color w:val="000000"/>
          <w:sz w:val="21"/>
          <w:szCs w:val="21"/>
          <w:lang w:eastAsia="en-US" w:bidi="ar-SA"/>
        </w:rPr>
        <w:t>Zweitwohnungsabgabenverordnung der Stadtvertretung der Stadt Dornbirn vom 23.05.2024</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Aufgrund des Beschlusses der Stadtvertretung vom 23.05.2024 wird gemäß § 1</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Zweitwohnungsabgabegesetz, LGBI. Nr. 59/2023 idF LGBI. Nr. 27/2024, verordnet:</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 1</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Einhebung der Abgabe</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Die Stadt Dornbirn erhebt ab 1.1.2024 eine Abgabe für Zweitwohnungen im Sinne des Zweit</w:t>
        <w:softHyphen/>
        <w:t>wohnungsabgabegesetzes.</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 2</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Höhe der Abgabe</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(1) Die Abgabe für Zweitwohnungen beträgt 8,20 pro Quadratmeter.</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Für Wohnwagen wird keine Zweitwohnsitzabgabe erhoben.</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 3</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Inkrafttreten</w:t>
      </w:r>
    </w:p>
    <w:p>
      <w:pPr>
        <w:pStyle w:val="Default"/>
        <w:spacing w:lineRule="auto" w:line="360" w:before="0" w:after="113"/>
        <w:rPr>
          <w:sz w:val="21"/>
          <w:szCs w:val="21"/>
        </w:rPr>
      </w:pPr>
      <w:r>
        <w:rPr>
          <w:rFonts w:eastAsia="Droid Sans" w:cs="Times New Roman" w:ascii="Tahoma" w:hAnsi="Tahoma"/>
          <w:bCs/>
          <w:color w:val="000000"/>
          <w:sz w:val="21"/>
          <w:szCs w:val="21"/>
          <w:lang w:eastAsia="en-US" w:bidi="ar-SA"/>
        </w:rPr>
        <w:t>Die Verordnung tritt mit Beginn des auf die Kundmachung folgenden Tages in Kraft.“</w:t>
      </w:r>
    </w:p>
    <w:p>
      <w:pPr>
        <w:pStyle w:val="Default"/>
        <w:spacing w:lineRule="auto" w:line="360" w:before="0" w:after="0"/>
        <w:rPr>
          <w:sz w:val="21"/>
          <w:szCs w:val="21"/>
        </w:rPr>
      </w:pPr>
      <w:r>
        <w:rPr>
          <w:sz w:val="21"/>
          <w:szCs w:val="21"/>
        </w:rPr>
      </w:r>
    </w:p>
    <w:p>
      <w:pPr>
        <w:pStyle w:val="Default"/>
        <w:spacing w:lineRule="auto" w:line="360" w:before="0" w:after="0"/>
        <w:rPr>
          <w:sz w:val="21"/>
          <w:szCs w:val="21"/>
        </w:rPr>
      </w:pPr>
      <w:r>
        <w:rPr>
          <w:sz w:val="21"/>
          <w:szCs w:val="21"/>
        </w:rPr>
      </w:r>
    </w:p>
    <w:p>
      <w:pPr>
        <w:pStyle w:val="Default"/>
        <w:spacing w:lineRule="auto" w:line="360" w:before="0" w:after="0"/>
        <w:rPr>
          <w:sz w:val="21"/>
          <w:szCs w:val="21"/>
        </w:rPr>
      </w:pPr>
      <w:r>
        <w:rPr>
          <w:rFonts w:eastAsia="Droid Sans" w:cs="Times New Roman" w:ascii="Tahoma" w:hAnsi="Tahoma"/>
          <w:bCs/>
          <w:color w:val="000000"/>
          <w:sz w:val="21"/>
          <w:szCs w:val="21"/>
          <w:lang w:eastAsia="en-US" w:bidi="ar-SA"/>
        </w:rPr>
        <w:t>Juliane Alton</w:t>
        <w:tab/>
        <w:tab/>
        <w:tab/>
        <w:tab/>
        <w:t>Elisabeth Edler</w:t>
        <w:tab/>
        <w:tab/>
        <w:tab/>
        <w:t>Susanne Fritz</w:t>
      </w:r>
    </w:p>
    <w:p>
      <w:pPr>
        <w:pStyle w:val="Default"/>
        <w:spacing w:lineRule="auto" w:line="360" w:before="0" w:after="0"/>
        <w:rPr>
          <w:sz w:val="21"/>
          <w:szCs w:val="21"/>
        </w:rPr>
      </w:pPr>
      <w:r>
        <w:rPr>
          <w:rFonts w:eastAsia="Droid Sans" w:cs="Times New Roman" w:ascii="Tahoma" w:hAnsi="Tahoma"/>
          <w:bCs/>
          <w:color w:val="000000"/>
          <w:sz w:val="21"/>
          <w:szCs w:val="21"/>
          <w:lang w:eastAsia="en-US" w:bidi="ar-SA"/>
        </w:rPr>
        <w:t>Stadträtin</w:t>
        <w:tab/>
        <w:tab/>
        <w:tab/>
        <w:tab/>
        <w:t>Stadträtin</w:t>
        <w:tab/>
        <w:tab/>
        <w:tab/>
        <w:tab/>
        <w:t>Stadtvertreterin</w:t>
      </w:r>
    </w:p>
    <w:p>
      <w:pPr>
        <w:pStyle w:val="Default"/>
        <w:spacing w:lineRule="auto" w:line="360" w:before="0" w:after="0"/>
        <w:rPr>
          <w:sz w:val="21"/>
          <w:szCs w:val="21"/>
        </w:rPr>
      </w:pPr>
      <w:r>
        <w:rPr>
          <w:sz w:val="21"/>
          <w:szCs w:val="21"/>
        </w:rPr>
      </w:r>
    </w:p>
    <w:p>
      <w:pPr>
        <w:pStyle w:val="Default"/>
        <w:spacing w:lineRule="auto" w:line="360" w:before="0" w:after="0"/>
        <w:rPr>
          <w:sz w:val="21"/>
          <w:szCs w:val="21"/>
        </w:rPr>
      </w:pPr>
      <w:r>
        <w:rPr>
          <w:sz w:val="21"/>
          <w:szCs w:val="21"/>
        </w:rPr>
      </w:r>
    </w:p>
    <w:p>
      <w:pPr>
        <w:pStyle w:val="Default"/>
        <w:spacing w:lineRule="auto" w:line="360" w:before="0" w:after="0"/>
        <w:rPr>
          <w:sz w:val="21"/>
          <w:szCs w:val="21"/>
        </w:rPr>
      </w:pPr>
      <w:r>
        <w:rPr>
          <w:rFonts w:eastAsia="Droid Sans" w:cs="Times New Roman" w:ascii="Tahoma" w:hAnsi="Tahoma"/>
          <w:bCs/>
          <w:color w:val="000000"/>
          <w:sz w:val="21"/>
          <w:szCs w:val="21"/>
          <w:lang w:eastAsia="en-US" w:bidi="ar-SA"/>
        </w:rPr>
        <w:t>Vahide Aydin</w:t>
        <w:tab/>
        <w:tab/>
        <w:tab/>
        <w:tab/>
        <w:t>Wolfgang Juen</w:t>
        <w:tab/>
        <w:tab/>
        <w:tab/>
        <w:t>Samuel Moosmann</w:t>
      </w:r>
    </w:p>
    <w:p>
      <w:pPr>
        <w:pStyle w:val="Default"/>
        <w:spacing w:lineRule="auto" w:line="360" w:before="0" w:after="0"/>
        <w:rPr>
          <w:sz w:val="21"/>
          <w:szCs w:val="21"/>
        </w:rPr>
      </w:pPr>
      <w:r>
        <w:rPr>
          <w:rFonts w:eastAsia="Droid Sans" w:cs="Times New Roman" w:ascii="Tahoma" w:hAnsi="Tahoma"/>
          <w:bCs/>
          <w:color w:val="000000"/>
          <w:sz w:val="21"/>
          <w:szCs w:val="21"/>
          <w:lang w:eastAsia="en-US" w:bidi="ar-SA"/>
        </w:rPr>
        <w:t>Landtagsabgeordnete</w:t>
        <w:tab/>
        <w:tab/>
        <w:t>Stadtvertreter</w:t>
        <w:tab/>
        <w:tab/>
        <w:tab/>
        <w:t>Stadtvertreter</w:t>
      </w:r>
    </w:p>
    <w:p>
      <w:pPr>
        <w:pStyle w:val="Default"/>
        <w:spacing w:lineRule="auto" w:line="360" w:before="0" w:after="0"/>
        <w:rPr>
          <w:rFonts w:ascii="Tahoma" w:hAnsi="Tahoma" w:eastAsia="Droid Sans" w:cs="Times New Roman"/>
          <w:bCs/>
          <w:color w:val="000000"/>
          <w:lang w:eastAsia="en-US" w:bidi="ar-SA"/>
        </w:rPr>
      </w:pPr>
      <w:r>
        <w:rPr>
          <w:rFonts w:eastAsia="Droid Sans" w:cs="Times New Roman" w:ascii="Tahoma" w:hAnsi="Tahoma"/>
          <w:bCs/>
          <w:color w:val="000000"/>
          <w:lang w:eastAsia="en-US" w:bidi="ar-SA"/>
        </w:rPr>
      </w:r>
    </w:p>
    <w:p>
      <w:pPr>
        <w:pStyle w:val="Default"/>
        <w:spacing w:lineRule="auto" w:line="360" w:before="0" w:after="0"/>
        <w:rPr>
          <w:rFonts w:ascii="Tahoma" w:hAnsi="Tahoma" w:eastAsia="Droid Sans" w:cs="Times New Roman"/>
          <w:bCs/>
          <w:color w:val="000000"/>
          <w:lang w:eastAsia="en-US" w:bidi="ar-SA"/>
        </w:rPr>
      </w:pPr>
      <w:r>
        <w:rPr>
          <w:rFonts w:eastAsia="Droid Sans" w:cs="Times New Roman" w:ascii="Tahoma" w:hAnsi="Tahoma"/>
          <w:bCs/>
          <w:color w:val="000000"/>
          <w:lang w:eastAsia="en-US" w:bidi="ar-SA"/>
        </w:rPr>
      </w:r>
    </w:p>
    <w:p>
      <w:pPr>
        <w:pStyle w:val="Default"/>
        <w:spacing w:lineRule="auto" w:line="360" w:before="0" w:after="0"/>
        <w:rPr>
          <w:rFonts w:ascii="Tahoma" w:hAnsi="Tahoma" w:eastAsia="Droid Sans" w:cs="Times New Roman"/>
          <w:bCs/>
          <w:color w:val="000000"/>
          <w:lang w:eastAsia="en-US" w:bidi="ar-SA"/>
        </w:rPr>
      </w:pPr>
      <w:r>
        <w:rPr>
          <w:rFonts w:eastAsia="Droid Sans" w:cs="Times New Roman" w:ascii="Tahoma" w:hAnsi="Tahoma"/>
          <w:bCs/>
          <w:color w:val="000000"/>
          <w:lang w:eastAsia="en-US" w:bidi="ar-SA"/>
        </w:rPr>
      </w:r>
    </w:p>
    <w:p>
      <w:pPr>
        <w:pStyle w:val="Default"/>
        <w:spacing w:lineRule="auto" w:line="360" w:before="0" w:after="0"/>
        <w:rPr>
          <w:sz w:val="21"/>
          <w:szCs w:val="21"/>
        </w:rPr>
      </w:pPr>
      <w:r>
        <w:rPr>
          <w:rFonts w:eastAsia="Droid Sans" w:cs="Times New Roman" w:ascii="Tahoma" w:hAnsi="Tahoma"/>
          <w:bCs/>
          <w:color w:val="000000"/>
          <w:sz w:val="21"/>
          <w:szCs w:val="21"/>
          <w:lang w:eastAsia="en-US" w:bidi="ar-SA"/>
        </w:rPr>
        <w:t>Manfred Hämmerle</w:t>
      </w:r>
    </w:p>
    <w:p>
      <w:pPr>
        <w:pStyle w:val="Default"/>
        <w:spacing w:lineRule="auto" w:line="360" w:before="0" w:after="0"/>
        <w:rPr>
          <w:sz w:val="21"/>
          <w:szCs w:val="21"/>
        </w:rPr>
      </w:pPr>
      <w:r>
        <w:rPr>
          <w:rFonts w:eastAsia="Droid Sans" w:cs="Times New Roman" w:ascii="Tahoma" w:hAnsi="Tahoma"/>
          <w:bCs/>
          <w:color w:val="000000"/>
          <w:sz w:val="21"/>
          <w:szCs w:val="21"/>
          <w:lang w:eastAsia="en-US" w:bidi="ar-SA"/>
        </w:rPr>
        <w:t>Stadtvertreter</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Gotham Narrow">
    <w:charset w:val="01"/>
    <w:family w:val="swiss"/>
    <w:pitch w:val="default"/>
  </w:font>
  <w:font w:name="FreeSans">
    <w:charset w:val="01"/>
    <w:family w:val="swiss"/>
    <w:pitch w:val="default"/>
  </w:font>
  <w:font w:name="Times New Roman">
    <w:charset w:val="01"/>
    <w:family w:val="swiss"/>
    <w:pitch w:val="default"/>
  </w:font>
  <w:font w:name="Tahoma">
    <w:charset w:val="01"/>
    <w:family w:val="swiss"/>
    <w:pitch w:val="default"/>
  </w:font>
</w:fonts>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T"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Arial" w:asciiTheme="minorHAnsi" w:cstheme="minorBidi" w:eastAsiaTheme="minorEastAsia" w:hAnsiTheme="minorHAnsi"/>
        <w:szCs w:val="24"/>
        <w:lang w:val="en-AT"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等线" w:cs="Arial" w:asciiTheme="minorHAnsi" w:cstheme="minorBidi" w:eastAsiaTheme="minorEastAsia" w:hAnsiTheme="minorHAnsi"/>
      <w:color w:val="auto"/>
      <w:kern w:val="0"/>
      <w:sz w:val="24"/>
      <w:szCs w:val="24"/>
      <w:lang w:val="en-AT" w:eastAsia="zh-CN"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Gotham Narrow" w:hAnsi="Gotham Narrow" w:eastAsia="Noto Sans CJK SC" w:cs="Lohit Devanagari"/>
      <w:sz w:val="32"/>
      <w:szCs w:val="28"/>
    </w:rPr>
  </w:style>
  <w:style w:type="paragraph" w:styleId="TextBody">
    <w:name w:val="Body Text"/>
    <w:basedOn w:val="Normal"/>
    <w:pPr>
      <w:spacing w:lineRule="auto" w:line="276" w:before="0" w:after="140"/>
    </w:pPr>
    <w:rPr/>
  </w:style>
  <w:style w:type="paragraph" w:styleId="List">
    <w:name w:val="List"/>
    <w:basedOn w:val="TextBody"/>
    <w:pPr/>
    <w:rPr>
      <w:rFonts w:ascii="FreeSans" w:hAnsi="FreeSans" w:cs="Lohit Devanagari"/>
    </w:rPr>
  </w:style>
  <w:style w:type="paragraph" w:styleId="Caption">
    <w:name w:val="Caption"/>
    <w:basedOn w:val="Normal"/>
    <w:qFormat/>
    <w:pPr>
      <w:suppressLineNumbers/>
      <w:spacing w:before="120" w:after="120"/>
    </w:pPr>
    <w:rPr>
      <w:rFonts w:ascii="FreeSans" w:hAnsi="FreeSans" w:cs="Lohit Devanagari"/>
      <w:i/>
      <w:iCs/>
      <w:sz w:val="24"/>
      <w:szCs w:val="24"/>
    </w:rPr>
  </w:style>
  <w:style w:type="paragraph" w:styleId="Index">
    <w:name w:val="Index"/>
    <w:basedOn w:val="Normal"/>
    <w:qFormat/>
    <w:pPr>
      <w:suppressLineNumbers/>
    </w:pPr>
    <w:rPr>
      <w:rFonts w:ascii="FreeSans" w:hAnsi="FreeSans" w:cs="Lohit Devanagari"/>
    </w:rPr>
  </w:style>
  <w:style w:type="paragraph" w:styleId="Standard" w:customStyle="1">
    <w:name w:val="Standard"/>
    <w:qFormat/>
    <w:rsid w:val="006a7c75"/>
    <w:pPr>
      <w:widowControl/>
      <w:suppressAutoHyphens w:val="true"/>
      <w:bidi w:val="0"/>
      <w:spacing w:before="0" w:after="0"/>
      <w:jc w:val="left"/>
      <w:textAlignment w:val="baseline"/>
    </w:pPr>
    <w:rPr>
      <w:rFonts w:ascii="FreeSans" w:hAnsi="FreeSans" w:eastAsia="Noto Serif CJK SC" w:cs="Lohit Devanagari"/>
      <w:color w:val="auto"/>
      <w:kern w:val="2"/>
      <w:sz w:val="24"/>
      <w:szCs w:val="24"/>
      <w:lang w:val="de-AT" w:eastAsia="zh-CN" w:bidi="hi-IN"/>
    </w:rPr>
  </w:style>
  <w:style w:type="paragraph" w:styleId="Default" w:customStyle="1">
    <w:name w:val="Default"/>
    <w:qFormat/>
    <w:rsid w:val="006a7c75"/>
    <w:pPr>
      <w:widowControl/>
      <w:suppressAutoHyphens w:val="true"/>
      <w:bidi w:val="0"/>
      <w:spacing w:before="0" w:after="0"/>
      <w:jc w:val="left"/>
      <w:textAlignment w:val="baseline"/>
    </w:pPr>
    <w:rPr>
      <w:rFonts w:ascii="Times New Roman" w:hAnsi="Times New Roman" w:eastAsia="Droid Sans" w:cs="Times New Roman"/>
      <w:color w:val="000000"/>
      <w:kern w:val="2"/>
      <w:sz w:val="24"/>
      <w:szCs w:val="24"/>
      <w:lang w:val="de-A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Application>LibreOffice/7.3.7.2$Linux_X86_64 LibreOffice_project/30$Build-2</Application>
  <AppVersion>15.0000</AppVersion>
  <Pages>2</Pages>
  <Words>342</Words>
  <Characters>2367</Characters>
  <CharactersWithSpaces>2691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2022-05-02T13:36:00Z</dcterms:created>
  <dc:creator>Aaron Wölfling</dc:creator>
  <dc:description/>
  <dc:language>de-AT</dc:language>
  <cp:lastModifiedBy/>
  <cp:lastPrinted>2024-05-07T13:05:19Z</cp:lastPrinted>
  <dcterms:modified xsi:type="dcterms:W3CDTF">2024-05-13T20:25:02Z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